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85"/>
        <w:gridCol w:w="6379"/>
      </w:tblGrid>
      <w:tr w:rsidR="00EA558F" w:rsidRPr="00431DFC" w14:paraId="7B74A8C0" w14:textId="77777777" w:rsidTr="004A4462">
        <w:tc>
          <w:tcPr>
            <w:tcW w:w="3085" w:type="dxa"/>
            <w:vAlign w:val="center"/>
          </w:tcPr>
          <w:p w14:paraId="02D82B4E" w14:textId="77777777" w:rsidR="004E7E8C" w:rsidRPr="00431DFC" w:rsidRDefault="004E7E8C" w:rsidP="004A4462">
            <w:pPr>
              <w:spacing w:line="276" w:lineRule="auto"/>
              <w:rPr>
                <w:rFonts w:ascii="Source Sans Pro" w:hAnsi="Source Sans Pro" w:cs="Arial"/>
                <w:b/>
              </w:rPr>
            </w:pPr>
            <w:r w:rsidRPr="00431DFC">
              <w:rPr>
                <w:rFonts w:ascii="Source Sans Pro" w:hAnsi="Source Sans Pro" w:cs="Arial"/>
                <w:b/>
              </w:rPr>
              <w:t>Information topic</w:t>
            </w:r>
          </w:p>
        </w:tc>
        <w:tc>
          <w:tcPr>
            <w:tcW w:w="6379" w:type="dxa"/>
            <w:vAlign w:val="center"/>
          </w:tcPr>
          <w:p w14:paraId="3A020B34" w14:textId="77777777" w:rsidR="004E7E8C" w:rsidRPr="00431DFC" w:rsidRDefault="004E7E8C" w:rsidP="004A4462">
            <w:pPr>
              <w:spacing w:line="276" w:lineRule="auto"/>
              <w:rPr>
                <w:rFonts w:ascii="Source Sans Pro" w:hAnsi="Source Sans Pro" w:cs="Arial"/>
                <w:b/>
              </w:rPr>
            </w:pPr>
            <w:r w:rsidRPr="00431DFC">
              <w:rPr>
                <w:rFonts w:ascii="Source Sans Pro" w:hAnsi="Source Sans Pro" w:cs="Arial"/>
                <w:b/>
              </w:rPr>
              <w:t>Details</w:t>
            </w:r>
          </w:p>
        </w:tc>
      </w:tr>
      <w:tr w:rsidR="009D7F3E" w:rsidRPr="00431DFC" w14:paraId="31E98046" w14:textId="77777777" w:rsidTr="00431328">
        <w:trPr>
          <w:trHeight w:val="340"/>
        </w:trPr>
        <w:tc>
          <w:tcPr>
            <w:tcW w:w="3085" w:type="dxa"/>
            <w:vAlign w:val="center"/>
          </w:tcPr>
          <w:p w14:paraId="457ABCF2" w14:textId="77777777" w:rsidR="009D7F3E" w:rsidRPr="00431DFC" w:rsidRDefault="009D7F3E" w:rsidP="009D7F3E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t>Indicator name</w:t>
            </w:r>
          </w:p>
        </w:tc>
        <w:tc>
          <w:tcPr>
            <w:tcW w:w="6379" w:type="dxa"/>
          </w:tcPr>
          <w:p w14:paraId="10AF58AC" w14:textId="207EDEDD" w:rsidR="009D7F3E" w:rsidRPr="00431DFC" w:rsidRDefault="00A36161" w:rsidP="009D7F3E">
            <w:pPr>
              <w:rPr>
                <w:rFonts w:ascii="Source Sans Pro" w:hAnsi="Source Sans Pro" w:cs="Arial"/>
                <w:b/>
                <w:color w:val="4B962B"/>
              </w:rPr>
            </w:pPr>
            <w:r w:rsidRPr="00431DFC">
              <w:rPr>
                <w:rFonts w:ascii="Source Sans Pro" w:hAnsi="Source Sans Pro" w:cs="Arial"/>
                <w:b/>
                <w:color w:val="4B962B"/>
              </w:rPr>
              <w:t>Number and density of livestock</w:t>
            </w:r>
          </w:p>
        </w:tc>
      </w:tr>
      <w:tr w:rsidR="009D7F3E" w:rsidRPr="00431DFC" w14:paraId="1C767C23" w14:textId="77777777" w:rsidTr="00D56293">
        <w:trPr>
          <w:trHeight w:val="340"/>
        </w:trPr>
        <w:tc>
          <w:tcPr>
            <w:tcW w:w="3085" w:type="dxa"/>
            <w:vAlign w:val="center"/>
          </w:tcPr>
          <w:p w14:paraId="65EAC356" w14:textId="77777777" w:rsidR="009D7F3E" w:rsidRPr="00431DFC" w:rsidRDefault="009D7F3E" w:rsidP="009D7F3E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t>Domain and topic</w:t>
            </w:r>
          </w:p>
        </w:tc>
        <w:tc>
          <w:tcPr>
            <w:tcW w:w="6379" w:type="dxa"/>
          </w:tcPr>
          <w:p w14:paraId="7A54A623" w14:textId="66D76750" w:rsidR="009D7F3E" w:rsidRPr="00431DFC" w:rsidRDefault="00431DFC" w:rsidP="009D7F3E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t xml:space="preserve">Recreational Water: </w:t>
            </w:r>
            <w:r w:rsidR="00FE4615">
              <w:rPr>
                <w:rFonts w:ascii="Source Sans Pro" w:hAnsi="Source Sans Pro" w:cs="Arial"/>
              </w:rPr>
              <w:t>Agricultural activity</w:t>
            </w:r>
          </w:p>
        </w:tc>
      </w:tr>
      <w:tr w:rsidR="009D7F3E" w:rsidRPr="00431DFC" w14:paraId="37C6D0A9" w14:textId="77777777" w:rsidTr="002630EB">
        <w:trPr>
          <w:trHeight w:val="340"/>
        </w:trPr>
        <w:tc>
          <w:tcPr>
            <w:tcW w:w="3085" w:type="dxa"/>
            <w:vAlign w:val="center"/>
          </w:tcPr>
          <w:p w14:paraId="08850217" w14:textId="77777777" w:rsidR="009D7F3E" w:rsidRPr="00431DFC" w:rsidRDefault="009D7F3E" w:rsidP="009D7F3E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t>Indicator definition and units</w:t>
            </w:r>
          </w:p>
        </w:tc>
        <w:tc>
          <w:tcPr>
            <w:tcW w:w="6379" w:type="dxa"/>
          </w:tcPr>
          <w:p w14:paraId="58C1463B" w14:textId="3FAC59F7" w:rsidR="00431DFC" w:rsidRPr="00431DFC" w:rsidRDefault="00431DFC" w:rsidP="00431DFC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t xml:space="preserve">Number and density (in number </w:t>
            </w:r>
            <w:r w:rsidR="009428AA">
              <w:rPr>
                <w:rFonts w:ascii="Source Sans Pro" w:hAnsi="Source Sans Pro" w:cs="Arial"/>
              </w:rPr>
              <w:t xml:space="preserve">of animals </w:t>
            </w:r>
            <w:r w:rsidRPr="00431DFC">
              <w:rPr>
                <w:rFonts w:ascii="Source Sans Pro" w:hAnsi="Source Sans Pro" w:cs="Arial"/>
              </w:rPr>
              <w:t>per square kilometre</w:t>
            </w:r>
            <w:r w:rsidR="009428AA">
              <w:rPr>
                <w:rFonts w:ascii="Source Sans Pro" w:hAnsi="Source Sans Pro" w:cs="Arial"/>
              </w:rPr>
              <w:t xml:space="preserve"> of farmland</w:t>
            </w:r>
            <w:r w:rsidRPr="00431DFC">
              <w:rPr>
                <w:rFonts w:ascii="Source Sans Pro" w:hAnsi="Source Sans Pro" w:cs="Arial"/>
              </w:rPr>
              <w:t>) of</w:t>
            </w:r>
            <w:r w:rsidR="009428AA">
              <w:rPr>
                <w:rFonts w:ascii="Source Sans Pro" w:hAnsi="Source Sans Pro" w:cs="Arial"/>
              </w:rPr>
              <w:t xml:space="preserve"> </w:t>
            </w:r>
            <w:r w:rsidRPr="00431DFC">
              <w:rPr>
                <w:rFonts w:ascii="Source Sans Pro" w:hAnsi="Source Sans Pro" w:cs="Arial"/>
              </w:rPr>
              <w:t>livestock (by type: sheep, dairy</w:t>
            </w:r>
            <w:r w:rsidR="00FE0DD6">
              <w:rPr>
                <w:rFonts w:ascii="Source Sans Pro" w:hAnsi="Source Sans Pro" w:cs="Arial"/>
              </w:rPr>
              <w:t xml:space="preserve"> and </w:t>
            </w:r>
            <w:r w:rsidRPr="00431DFC">
              <w:rPr>
                <w:rFonts w:ascii="Source Sans Pro" w:hAnsi="Source Sans Pro" w:cs="Arial"/>
              </w:rPr>
              <w:t>beef cattle</w:t>
            </w:r>
            <w:r w:rsidR="00FE0DD6">
              <w:rPr>
                <w:rFonts w:ascii="Source Sans Pro" w:hAnsi="Source Sans Pro" w:cs="Arial"/>
              </w:rPr>
              <w:t>,</w:t>
            </w:r>
            <w:r w:rsidRPr="00431DFC">
              <w:rPr>
                <w:rFonts w:ascii="Source Sans Pro" w:hAnsi="Source Sans Pro" w:cs="Arial"/>
              </w:rPr>
              <w:t xml:space="preserve"> and deer), by</w:t>
            </w:r>
            <w:r w:rsidR="009428AA">
              <w:rPr>
                <w:rFonts w:ascii="Source Sans Pro" w:hAnsi="Source Sans Pro" w:cs="Arial"/>
              </w:rPr>
              <w:t xml:space="preserve"> region</w:t>
            </w:r>
          </w:p>
          <w:p w14:paraId="23B676EE" w14:textId="77777777" w:rsidR="00431DFC" w:rsidRPr="00431DFC" w:rsidRDefault="00431DFC" w:rsidP="00431DFC">
            <w:pPr>
              <w:rPr>
                <w:rFonts w:ascii="Source Sans Pro" w:hAnsi="Source Sans Pro" w:cs="Arial"/>
              </w:rPr>
            </w:pPr>
          </w:p>
          <w:p w14:paraId="09B039CD" w14:textId="77777777" w:rsidR="00431DFC" w:rsidRPr="00431DFC" w:rsidRDefault="00431DFC" w:rsidP="00431DFC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t>Note: Pigs and horses have not been included in the total</w:t>
            </w:r>
          </w:p>
          <w:p w14:paraId="48A62452" w14:textId="77777777" w:rsidR="00431DFC" w:rsidRPr="00431DFC" w:rsidRDefault="00431DFC" w:rsidP="00431DFC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t>counts as their environmental impact and population size is</w:t>
            </w:r>
          </w:p>
          <w:p w14:paraId="28CC3622" w14:textId="77777777" w:rsidR="00431DFC" w:rsidRPr="00431DFC" w:rsidRDefault="00431DFC" w:rsidP="00431DFC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t>significantly less than other types of livestock. These animals</w:t>
            </w:r>
          </w:p>
          <w:p w14:paraId="3D456FBF" w14:textId="77777777" w:rsidR="00431DFC" w:rsidRPr="00431DFC" w:rsidRDefault="00431DFC" w:rsidP="00431DFC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t>are contained in their enclosures and cannot roam freely</w:t>
            </w:r>
          </w:p>
          <w:p w14:paraId="2BDCD179" w14:textId="77777777" w:rsidR="00431DFC" w:rsidRPr="00431DFC" w:rsidRDefault="00431DFC" w:rsidP="00431DFC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t>through a vast area of farmland, thus are unlikely to</w:t>
            </w:r>
          </w:p>
          <w:p w14:paraId="71ADE8BF" w14:textId="515CD5B0" w:rsidR="009D7F3E" w:rsidRPr="00431DFC" w:rsidRDefault="00431DFC" w:rsidP="00431DFC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t>contaminate water sources.</w:t>
            </w:r>
          </w:p>
        </w:tc>
      </w:tr>
      <w:tr w:rsidR="009D7F3E" w:rsidRPr="00431DFC" w14:paraId="44814565" w14:textId="77777777" w:rsidTr="008872AC">
        <w:trPr>
          <w:trHeight w:val="340"/>
        </w:trPr>
        <w:tc>
          <w:tcPr>
            <w:tcW w:w="3085" w:type="dxa"/>
            <w:vAlign w:val="center"/>
          </w:tcPr>
          <w:p w14:paraId="613FC52D" w14:textId="77777777" w:rsidR="009D7F3E" w:rsidRPr="00431DFC" w:rsidRDefault="009D7F3E" w:rsidP="009D7F3E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t>Data source</w:t>
            </w:r>
          </w:p>
        </w:tc>
        <w:tc>
          <w:tcPr>
            <w:tcW w:w="6379" w:type="dxa"/>
          </w:tcPr>
          <w:p w14:paraId="3F265493" w14:textId="6276838A" w:rsidR="009D7F3E" w:rsidRDefault="00431DFC" w:rsidP="007D5708">
            <w:pPr>
              <w:rPr>
                <w:rStyle w:val="Hyperlink"/>
                <w:rFonts w:ascii="Source Sans Pro" w:hAnsi="Source Sans Pro"/>
              </w:rPr>
            </w:pPr>
            <w:r w:rsidRPr="007D5708">
              <w:rPr>
                <w:rFonts w:ascii="Source Sans Pro" w:hAnsi="Source Sans Pro"/>
              </w:rPr>
              <w:t>Stat</w:t>
            </w:r>
            <w:r w:rsidR="008B7A68">
              <w:rPr>
                <w:rFonts w:ascii="Source Sans Pro" w:hAnsi="Source Sans Pro"/>
              </w:rPr>
              <w:t>s</w:t>
            </w:r>
            <w:r w:rsidRPr="007D5708">
              <w:rPr>
                <w:rFonts w:ascii="Source Sans Pro" w:hAnsi="Source Sans Pro"/>
              </w:rPr>
              <w:t xml:space="preserve"> N</w:t>
            </w:r>
            <w:r w:rsidR="008B7A68">
              <w:rPr>
                <w:rFonts w:ascii="Source Sans Pro" w:hAnsi="Source Sans Pro"/>
              </w:rPr>
              <w:t>Z</w:t>
            </w:r>
            <w:r w:rsidRPr="007D5708">
              <w:rPr>
                <w:rFonts w:ascii="Source Sans Pro" w:hAnsi="Source Sans Pro"/>
              </w:rPr>
              <w:t>. Agricultural Production Statistics</w:t>
            </w:r>
            <w:r w:rsidR="009428AA" w:rsidRPr="007D5708">
              <w:rPr>
                <w:rFonts w:ascii="Source Sans Pro" w:hAnsi="Source Sans Pro"/>
              </w:rPr>
              <w:t xml:space="preserve"> (202</w:t>
            </w:r>
            <w:r w:rsidR="00DF36AE">
              <w:rPr>
                <w:rFonts w:ascii="Source Sans Pro" w:hAnsi="Source Sans Pro"/>
              </w:rPr>
              <w:t>4</w:t>
            </w:r>
            <w:r w:rsidR="009428AA" w:rsidRPr="007D5708">
              <w:rPr>
                <w:rFonts w:ascii="Source Sans Pro" w:hAnsi="Source Sans Pro"/>
              </w:rPr>
              <w:t>) &amp; Agricultural Production Census (20</w:t>
            </w:r>
            <w:r w:rsidR="00850913" w:rsidRPr="007D5708">
              <w:rPr>
                <w:rFonts w:ascii="Source Sans Pro" w:hAnsi="Source Sans Pro"/>
              </w:rPr>
              <w:t>2</w:t>
            </w:r>
            <w:r w:rsidR="00DF36AE">
              <w:rPr>
                <w:rFonts w:ascii="Source Sans Pro" w:hAnsi="Source Sans Pro"/>
              </w:rPr>
              <w:t>2</w:t>
            </w:r>
            <w:r w:rsidR="009428AA" w:rsidRPr="007D5708">
              <w:rPr>
                <w:rFonts w:ascii="Source Sans Pro" w:hAnsi="Source Sans Pro"/>
              </w:rPr>
              <w:t>)</w:t>
            </w:r>
            <w:r w:rsidRPr="007D5708">
              <w:rPr>
                <w:rFonts w:ascii="Source Sans Pro" w:hAnsi="Source Sans Pro"/>
              </w:rPr>
              <w:t xml:space="preserve">. </w:t>
            </w:r>
            <w:hyperlink r:id="rId8" w:history="1">
              <w:r w:rsidRPr="003741C8">
                <w:rPr>
                  <w:rStyle w:val="Hyperlink"/>
                  <w:rFonts w:ascii="Source Sans Pro" w:hAnsi="Source Sans Pro"/>
                </w:rPr>
                <w:t xml:space="preserve">Available from </w:t>
              </w:r>
              <w:r w:rsidR="00BF0650" w:rsidRPr="003741C8">
                <w:rPr>
                  <w:rStyle w:val="Hyperlink"/>
                </w:rPr>
                <w:t>Agricultural production statistics: Year to June 202</w:t>
              </w:r>
              <w:r w:rsidR="003741C8" w:rsidRPr="003741C8">
                <w:rPr>
                  <w:rStyle w:val="Hyperlink"/>
                </w:rPr>
                <w:t>4</w:t>
              </w:r>
              <w:r w:rsidR="00BF0650" w:rsidRPr="003741C8">
                <w:rPr>
                  <w:rStyle w:val="Hyperlink"/>
                </w:rPr>
                <w:t xml:space="preserve"> (final) | Stats NZ</w:t>
              </w:r>
            </w:hyperlink>
          </w:p>
          <w:p w14:paraId="3224031C" w14:textId="77777777" w:rsidR="0075751D" w:rsidRDefault="0075751D" w:rsidP="007D5708">
            <w:pPr>
              <w:rPr>
                <w:rStyle w:val="Hyperlink"/>
              </w:rPr>
            </w:pPr>
          </w:p>
          <w:p w14:paraId="667C2AC2" w14:textId="2CE0F34C" w:rsidR="0075751D" w:rsidRPr="0075751D" w:rsidRDefault="0021196C" w:rsidP="007D5708">
            <w:pPr>
              <w:rPr>
                <w:rFonts w:ascii="Source Sans Pro" w:hAnsi="Source Sans Pro"/>
                <w:color w:val="000000" w:themeColor="text1"/>
              </w:rPr>
            </w:pPr>
            <w:r>
              <w:rPr>
                <w:rFonts w:ascii="Source Sans Pro" w:hAnsi="Source Sans Pro"/>
                <w:color w:val="000000" w:themeColor="text1"/>
              </w:rPr>
              <w:t>Ministry for the Environment (</w:t>
            </w:r>
            <w:proofErr w:type="spellStart"/>
            <w:r>
              <w:rPr>
                <w:rFonts w:ascii="Source Sans Pro" w:hAnsi="Source Sans Pro"/>
                <w:color w:val="000000" w:themeColor="text1"/>
              </w:rPr>
              <w:t>MfE</w:t>
            </w:r>
            <w:proofErr w:type="spellEnd"/>
            <w:r>
              <w:rPr>
                <w:rFonts w:ascii="Source Sans Pro" w:hAnsi="Source Sans Pro"/>
                <w:color w:val="000000" w:themeColor="text1"/>
              </w:rPr>
              <w:t>)</w:t>
            </w:r>
            <w:r w:rsidR="0075751D">
              <w:rPr>
                <w:rFonts w:ascii="Source Sans Pro" w:hAnsi="Source Sans Pro"/>
                <w:color w:val="000000" w:themeColor="text1"/>
              </w:rPr>
              <w:t xml:space="preserve">. Land use </w:t>
            </w:r>
            <w:r w:rsidR="0075751D" w:rsidRPr="0075751D">
              <w:rPr>
                <w:rFonts w:ascii="Source Sans Pro" w:hAnsi="Source Sans Pro"/>
                <w:color w:val="000000" w:themeColor="text1"/>
              </w:rPr>
              <w:t xml:space="preserve">data (2021). Available from </w:t>
            </w:r>
            <w:hyperlink r:id="rId9" w:history="1">
              <w:r w:rsidR="0075751D" w:rsidRPr="0075751D">
                <w:rPr>
                  <w:rStyle w:val="Hyperlink"/>
                  <w:rFonts w:ascii="Source Sans Pro" w:hAnsi="Source Sans Pro"/>
                </w:rPr>
                <w:t xml:space="preserve">Browse GIS data | </w:t>
              </w:r>
              <w:proofErr w:type="spellStart"/>
              <w:r w:rsidR="0075751D" w:rsidRPr="0075751D">
                <w:rPr>
                  <w:rStyle w:val="Hyperlink"/>
                  <w:rFonts w:ascii="Source Sans Pro" w:hAnsi="Source Sans Pro"/>
                </w:rPr>
                <w:t>MfE</w:t>
              </w:r>
              <w:proofErr w:type="spellEnd"/>
              <w:r w:rsidR="0075751D" w:rsidRPr="0075751D">
                <w:rPr>
                  <w:rStyle w:val="Hyperlink"/>
                  <w:rFonts w:ascii="Source Sans Pro" w:hAnsi="Source Sans Pro"/>
                </w:rPr>
                <w:t xml:space="preserve"> Data Service</w:t>
              </w:r>
            </w:hyperlink>
            <w:r w:rsidR="0075751D">
              <w:t xml:space="preserve"> </w:t>
            </w:r>
          </w:p>
        </w:tc>
      </w:tr>
      <w:tr w:rsidR="009D7F3E" w:rsidRPr="00431DFC" w14:paraId="0975E9A3" w14:textId="77777777" w:rsidTr="00AF3EA0">
        <w:trPr>
          <w:trHeight w:val="340"/>
        </w:trPr>
        <w:tc>
          <w:tcPr>
            <w:tcW w:w="3085" w:type="dxa"/>
            <w:vAlign w:val="center"/>
          </w:tcPr>
          <w:p w14:paraId="2E500344" w14:textId="77777777" w:rsidR="009D7F3E" w:rsidRPr="00431DFC" w:rsidRDefault="009D7F3E" w:rsidP="009D7F3E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t>Numerator</w:t>
            </w:r>
          </w:p>
        </w:tc>
        <w:tc>
          <w:tcPr>
            <w:tcW w:w="6379" w:type="dxa"/>
          </w:tcPr>
          <w:p w14:paraId="4E9A1DCC" w14:textId="1FC238DF" w:rsidR="009D7F3E" w:rsidRPr="00431DFC" w:rsidRDefault="00431DFC" w:rsidP="00FE4615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t xml:space="preserve">(for livestock density) Number of livestock, by type, </w:t>
            </w:r>
            <w:r w:rsidR="00D93141">
              <w:rPr>
                <w:rFonts w:ascii="Source Sans Pro" w:hAnsi="Source Sans Pro" w:cs="Arial"/>
              </w:rPr>
              <w:t xml:space="preserve">and </w:t>
            </w:r>
            <w:r w:rsidRPr="00431DFC">
              <w:rPr>
                <w:rFonts w:ascii="Source Sans Pro" w:hAnsi="Source Sans Pro" w:cs="Arial"/>
              </w:rPr>
              <w:t xml:space="preserve">by </w:t>
            </w:r>
            <w:r w:rsidR="00FE4615">
              <w:rPr>
                <w:rFonts w:ascii="Source Sans Pro" w:hAnsi="Source Sans Pro" w:cs="Arial"/>
              </w:rPr>
              <w:t>region</w:t>
            </w:r>
          </w:p>
        </w:tc>
      </w:tr>
      <w:tr w:rsidR="009D7F3E" w:rsidRPr="00431DFC" w14:paraId="031E8DBC" w14:textId="77777777" w:rsidTr="00735D89">
        <w:trPr>
          <w:trHeight w:val="340"/>
        </w:trPr>
        <w:tc>
          <w:tcPr>
            <w:tcW w:w="3085" w:type="dxa"/>
            <w:vAlign w:val="center"/>
          </w:tcPr>
          <w:p w14:paraId="0B90D37B" w14:textId="77777777" w:rsidR="009D7F3E" w:rsidRPr="00431DFC" w:rsidRDefault="009D7F3E" w:rsidP="009D7F3E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t>Denominator</w:t>
            </w:r>
          </w:p>
        </w:tc>
        <w:tc>
          <w:tcPr>
            <w:tcW w:w="6379" w:type="dxa"/>
          </w:tcPr>
          <w:p w14:paraId="4E0DD12D" w14:textId="40C552D3" w:rsidR="009D7F3E" w:rsidRPr="00431DFC" w:rsidRDefault="00431DFC" w:rsidP="00431DFC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t xml:space="preserve">(for livestock density) Area </w:t>
            </w:r>
            <w:r w:rsidR="00D94E9D">
              <w:rPr>
                <w:rFonts w:ascii="Source Sans Pro" w:hAnsi="Source Sans Pro" w:cs="Arial"/>
              </w:rPr>
              <w:t>of farmland</w:t>
            </w:r>
            <w:r w:rsidR="003B6F2B">
              <w:rPr>
                <w:rFonts w:ascii="Source Sans Pro" w:hAnsi="Source Sans Pro" w:cs="Arial"/>
              </w:rPr>
              <w:t xml:space="preserve"> </w:t>
            </w:r>
            <w:r w:rsidRPr="00431DFC">
              <w:rPr>
                <w:rFonts w:ascii="Source Sans Pro" w:hAnsi="Source Sans Pro" w:cs="Arial"/>
              </w:rPr>
              <w:t xml:space="preserve">(in </w:t>
            </w:r>
            <w:r w:rsidR="00FE56B1" w:rsidRPr="009C135D">
              <w:rPr>
                <w:rFonts w:ascii="Source Sans Pro" w:hAnsi="Source Sans Pro"/>
                <w:iCs/>
              </w:rPr>
              <w:t>km</w:t>
            </w:r>
            <w:r w:rsidR="00FE56B1" w:rsidRPr="009C135D">
              <w:rPr>
                <w:rFonts w:ascii="Source Sans Pro" w:hAnsi="Source Sans Pro"/>
                <w:iCs/>
                <w:vertAlign w:val="superscript"/>
              </w:rPr>
              <w:t>2</w:t>
            </w:r>
            <w:r w:rsidRPr="00431DFC">
              <w:rPr>
                <w:rFonts w:ascii="Source Sans Pro" w:hAnsi="Source Sans Pro" w:cs="Arial"/>
              </w:rPr>
              <w:t>), by region</w:t>
            </w:r>
          </w:p>
        </w:tc>
      </w:tr>
      <w:tr w:rsidR="009D7F3E" w:rsidRPr="00431DFC" w14:paraId="3C5F23A8" w14:textId="77777777" w:rsidTr="00A83959">
        <w:trPr>
          <w:trHeight w:val="340"/>
        </w:trPr>
        <w:tc>
          <w:tcPr>
            <w:tcW w:w="3085" w:type="dxa"/>
            <w:vAlign w:val="center"/>
          </w:tcPr>
          <w:p w14:paraId="4630055E" w14:textId="77777777" w:rsidR="009D7F3E" w:rsidRPr="00431DFC" w:rsidRDefault="009D7F3E" w:rsidP="009D7F3E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t>Methodology</w:t>
            </w:r>
          </w:p>
        </w:tc>
        <w:tc>
          <w:tcPr>
            <w:tcW w:w="6379" w:type="dxa"/>
          </w:tcPr>
          <w:p w14:paraId="3B4AB71A" w14:textId="4C61C47A" w:rsidR="009428AA" w:rsidRPr="00431DFC" w:rsidRDefault="00431DFC" w:rsidP="000C2167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t xml:space="preserve">Information on </w:t>
            </w:r>
            <w:r w:rsidR="000C2167">
              <w:rPr>
                <w:rFonts w:ascii="Source Sans Pro" w:hAnsi="Source Sans Pro" w:cs="Arial"/>
              </w:rPr>
              <w:t xml:space="preserve">the area (in km2) of regions is taken from Stats NZ geographic data service, and the </w:t>
            </w:r>
            <w:r w:rsidR="009428AA">
              <w:rPr>
                <w:rFonts w:ascii="Source Sans Pro" w:hAnsi="Source Sans Pro" w:cs="Arial"/>
              </w:rPr>
              <w:t>Area of farmland is taken from the 20</w:t>
            </w:r>
            <w:r w:rsidR="00850913">
              <w:rPr>
                <w:rFonts w:ascii="Source Sans Pro" w:hAnsi="Source Sans Pro" w:cs="Arial"/>
              </w:rPr>
              <w:t>2</w:t>
            </w:r>
            <w:r w:rsidR="000C2167">
              <w:rPr>
                <w:rFonts w:ascii="Source Sans Pro" w:hAnsi="Source Sans Pro" w:cs="Arial"/>
              </w:rPr>
              <w:t>4</w:t>
            </w:r>
            <w:r w:rsidR="009428AA">
              <w:rPr>
                <w:rFonts w:ascii="Source Sans Pro" w:hAnsi="Source Sans Pro" w:cs="Arial"/>
              </w:rPr>
              <w:t xml:space="preserve"> Agricultural </w:t>
            </w:r>
            <w:r w:rsidR="000C2167">
              <w:rPr>
                <w:rFonts w:ascii="Source Sans Pro" w:hAnsi="Source Sans Pro" w:cs="Arial"/>
              </w:rPr>
              <w:t>Production Census</w:t>
            </w:r>
            <w:r w:rsidR="00BA66F9">
              <w:rPr>
                <w:rFonts w:ascii="Source Sans Pro" w:hAnsi="Source Sans Pro" w:cs="Arial"/>
              </w:rPr>
              <w:t>.</w:t>
            </w:r>
          </w:p>
        </w:tc>
      </w:tr>
      <w:tr w:rsidR="009D7F3E" w:rsidRPr="00431DFC" w14:paraId="7BB6C9CA" w14:textId="77777777" w:rsidTr="000F250D">
        <w:trPr>
          <w:trHeight w:val="340"/>
        </w:trPr>
        <w:tc>
          <w:tcPr>
            <w:tcW w:w="3085" w:type="dxa"/>
            <w:vAlign w:val="center"/>
          </w:tcPr>
          <w:p w14:paraId="28E7BB40" w14:textId="77777777" w:rsidR="009D7F3E" w:rsidRPr="00431DFC" w:rsidRDefault="009D7F3E" w:rsidP="009D7F3E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t>Time period and time scale</w:t>
            </w:r>
          </w:p>
        </w:tc>
        <w:tc>
          <w:tcPr>
            <w:tcW w:w="6379" w:type="dxa"/>
          </w:tcPr>
          <w:p w14:paraId="0C1B94DC" w14:textId="7448B86F" w:rsidR="00431DFC" w:rsidRPr="007D5708" w:rsidRDefault="00431DFC" w:rsidP="00431DFC">
            <w:pPr>
              <w:pStyle w:val="ListParagraph"/>
              <w:numPr>
                <w:ilvl w:val="0"/>
                <w:numId w:val="10"/>
              </w:numPr>
              <w:rPr>
                <w:rFonts w:ascii="Source Sans Pro" w:hAnsi="Source Sans Pro" w:cs="Arial"/>
              </w:rPr>
            </w:pPr>
            <w:r w:rsidRPr="007D5708">
              <w:rPr>
                <w:rFonts w:ascii="Source Sans Pro" w:hAnsi="Source Sans Pro" w:cs="Arial"/>
              </w:rPr>
              <w:t>Annual Agricultural Production Survey: year to 30 June;</w:t>
            </w:r>
            <w:r w:rsidR="007D5708">
              <w:rPr>
                <w:rFonts w:ascii="Source Sans Pro" w:hAnsi="Source Sans Pro" w:cs="Arial"/>
              </w:rPr>
              <w:t xml:space="preserve"> </w:t>
            </w:r>
            <w:r w:rsidRPr="007D5708">
              <w:rPr>
                <w:rFonts w:ascii="Source Sans Pro" w:hAnsi="Source Sans Pro" w:cs="Arial"/>
              </w:rPr>
              <w:t>from 2002 onwards</w:t>
            </w:r>
          </w:p>
          <w:p w14:paraId="2B9E9E6E" w14:textId="0DA91FCE" w:rsidR="009D7F3E" w:rsidRPr="007D5708" w:rsidRDefault="00431DFC" w:rsidP="007D5708">
            <w:pPr>
              <w:pStyle w:val="ListParagraph"/>
              <w:numPr>
                <w:ilvl w:val="0"/>
                <w:numId w:val="8"/>
              </w:numPr>
              <w:rPr>
                <w:rFonts w:ascii="Source Sans Pro" w:hAnsi="Source Sans Pro" w:cs="Arial"/>
              </w:rPr>
            </w:pPr>
            <w:r w:rsidRPr="007D5708">
              <w:rPr>
                <w:rFonts w:ascii="Source Sans Pro" w:hAnsi="Source Sans Pro" w:cs="Arial"/>
              </w:rPr>
              <w:t>Agricultural Census: 5-yearly; from 2002 onwards</w:t>
            </w:r>
          </w:p>
          <w:p w14:paraId="5D074A35" w14:textId="671FDB3D" w:rsidR="00156D18" w:rsidRPr="007D5708" w:rsidRDefault="00156D18" w:rsidP="007D5708">
            <w:pPr>
              <w:pStyle w:val="ListParagraph"/>
              <w:numPr>
                <w:ilvl w:val="0"/>
                <w:numId w:val="8"/>
              </w:numPr>
              <w:rPr>
                <w:rFonts w:ascii="Source Sans Pro" w:hAnsi="Source Sans Pro" w:cs="Arial"/>
              </w:rPr>
            </w:pPr>
            <w:r w:rsidRPr="007D5708">
              <w:rPr>
                <w:rFonts w:ascii="Source Sans Pro" w:hAnsi="Source Sans Pro"/>
                <w:color w:val="000000" w:themeColor="text1"/>
                <w:shd w:val="clear" w:color="auto" w:fill="FFFFFF"/>
              </w:rPr>
              <w:t>The 202</w:t>
            </w:r>
            <w:r w:rsidR="000C2167">
              <w:rPr>
                <w:rFonts w:ascii="Source Sans Pro" w:hAnsi="Source Sans Pro"/>
                <w:color w:val="000000" w:themeColor="text1"/>
                <w:shd w:val="clear" w:color="auto" w:fill="FFFFFF"/>
              </w:rPr>
              <w:t>4</w:t>
            </w:r>
            <w:r w:rsidRPr="007D5708">
              <w:rPr>
                <w:rFonts w:ascii="Source Sans Pro" w:hAnsi="Source Sans Pro"/>
                <w:color w:val="000000" w:themeColor="text1"/>
                <w:shd w:val="clear" w:color="auto" w:fill="FFFFFF"/>
              </w:rPr>
              <w:t xml:space="preserve"> survey was part of the current programme of agricultural production statistics that started in 2002. Previous censuses were held in 2002, 2007, 2012,  2017,</w:t>
            </w:r>
            <w:r w:rsidR="00DF36AE">
              <w:rPr>
                <w:rFonts w:ascii="Source Sans Pro" w:hAnsi="Source Sans Pro"/>
                <w:color w:val="000000" w:themeColor="text1"/>
                <w:shd w:val="clear" w:color="auto" w:fill="FFFFFF"/>
              </w:rPr>
              <w:t xml:space="preserve"> and 2022,</w:t>
            </w:r>
            <w:r w:rsidRPr="007D5708">
              <w:rPr>
                <w:rFonts w:ascii="Source Sans Pro" w:hAnsi="Source Sans Pro"/>
                <w:color w:val="000000" w:themeColor="text1"/>
                <w:shd w:val="clear" w:color="auto" w:fill="FFFFFF"/>
              </w:rPr>
              <w:t xml:space="preserve"> with annual sample surveys in 2003–06, 2008–11, 2013–16, and 2018-2021.</w:t>
            </w:r>
          </w:p>
        </w:tc>
      </w:tr>
      <w:tr w:rsidR="009D7F3E" w:rsidRPr="00431DFC" w14:paraId="6571C21D" w14:textId="77777777" w:rsidTr="00AA1CF8">
        <w:trPr>
          <w:trHeight w:val="340"/>
        </w:trPr>
        <w:tc>
          <w:tcPr>
            <w:tcW w:w="3085" w:type="dxa"/>
            <w:vAlign w:val="center"/>
          </w:tcPr>
          <w:p w14:paraId="6804E781" w14:textId="77777777" w:rsidR="009D7F3E" w:rsidRPr="00431DFC" w:rsidRDefault="009D7F3E" w:rsidP="009D7F3E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t>Spatial Coverage</w:t>
            </w:r>
          </w:p>
        </w:tc>
        <w:tc>
          <w:tcPr>
            <w:tcW w:w="6379" w:type="dxa"/>
          </w:tcPr>
          <w:p w14:paraId="1F323D98" w14:textId="174052BF" w:rsidR="009D7F3E" w:rsidRPr="00431DFC" w:rsidRDefault="009D7F3E" w:rsidP="009D7F3E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t>National.</w:t>
            </w:r>
          </w:p>
        </w:tc>
      </w:tr>
      <w:tr w:rsidR="009D7F3E" w:rsidRPr="00431DFC" w14:paraId="1805B067" w14:textId="77777777" w:rsidTr="00480A81">
        <w:trPr>
          <w:trHeight w:val="340"/>
        </w:trPr>
        <w:tc>
          <w:tcPr>
            <w:tcW w:w="3085" w:type="dxa"/>
            <w:vAlign w:val="center"/>
          </w:tcPr>
          <w:p w14:paraId="5830C0D4" w14:textId="77777777" w:rsidR="009D7F3E" w:rsidRPr="00431DFC" w:rsidRDefault="009D7F3E" w:rsidP="009D7F3E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t xml:space="preserve">Measures of frequency </w:t>
            </w:r>
          </w:p>
        </w:tc>
        <w:tc>
          <w:tcPr>
            <w:tcW w:w="6379" w:type="dxa"/>
          </w:tcPr>
          <w:p w14:paraId="0BAE8F7B" w14:textId="6725DADA" w:rsidR="00431DFC" w:rsidRPr="007D5708" w:rsidRDefault="00431DFC" w:rsidP="00431DFC">
            <w:pPr>
              <w:pStyle w:val="ListParagraph"/>
              <w:numPr>
                <w:ilvl w:val="0"/>
                <w:numId w:val="7"/>
              </w:numPr>
              <w:rPr>
                <w:rFonts w:ascii="Source Sans Pro" w:hAnsi="Source Sans Pro" w:cs="Arial"/>
              </w:rPr>
            </w:pPr>
            <w:r w:rsidRPr="007D5708">
              <w:rPr>
                <w:rFonts w:ascii="Source Sans Pro" w:hAnsi="Source Sans Pro" w:cs="Arial"/>
              </w:rPr>
              <w:t>Number of livestock by type (sheep, dairy cattle, beef cattle,</w:t>
            </w:r>
            <w:r w:rsidR="007D5708">
              <w:rPr>
                <w:rFonts w:ascii="Source Sans Pro" w:hAnsi="Source Sans Pro" w:cs="Arial"/>
              </w:rPr>
              <w:t xml:space="preserve"> </w:t>
            </w:r>
            <w:r w:rsidRPr="007D5708">
              <w:rPr>
                <w:rFonts w:ascii="Source Sans Pro" w:hAnsi="Source Sans Pro" w:cs="Arial"/>
              </w:rPr>
              <w:t>deer and total of these)</w:t>
            </w:r>
          </w:p>
          <w:p w14:paraId="42C31DC7" w14:textId="6AC9BB04" w:rsidR="00431DFC" w:rsidRPr="007D5708" w:rsidRDefault="00431DFC" w:rsidP="007D5708">
            <w:pPr>
              <w:pStyle w:val="ListParagraph"/>
              <w:numPr>
                <w:ilvl w:val="0"/>
                <w:numId w:val="7"/>
              </w:numPr>
              <w:rPr>
                <w:rFonts w:ascii="Source Sans Pro" w:hAnsi="Source Sans Pro" w:cs="Arial"/>
              </w:rPr>
            </w:pPr>
            <w:r w:rsidRPr="007D5708">
              <w:rPr>
                <w:rFonts w:ascii="Source Sans Pro" w:hAnsi="Source Sans Pro" w:cs="Arial"/>
              </w:rPr>
              <w:t>Livestock density by type, national average</w:t>
            </w:r>
          </w:p>
          <w:p w14:paraId="61626D3D" w14:textId="2A97DD40" w:rsidR="009D7F3E" w:rsidRPr="007D5708" w:rsidRDefault="00431DFC" w:rsidP="007D5708">
            <w:pPr>
              <w:pStyle w:val="ListParagraph"/>
              <w:numPr>
                <w:ilvl w:val="0"/>
                <w:numId w:val="7"/>
              </w:numPr>
              <w:rPr>
                <w:rFonts w:ascii="Source Sans Pro" w:hAnsi="Source Sans Pro" w:cs="Arial"/>
              </w:rPr>
            </w:pPr>
            <w:r w:rsidRPr="007D5708">
              <w:rPr>
                <w:rFonts w:ascii="Source Sans Pro" w:hAnsi="Source Sans Pro" w:cs="Arial"/>
              </w:rPr>
              <w:t xml:space="preserve">Livestock density by type and by </w:t>
            </w:r>
            <w:r w:rsidR="009428AA" w:rsidRPr="007D5708">
              <w:rPr>
                <w:rFonts w:ascii="Source Sans Pro" w:hAnsi="Source Sans Pro" w:cs="Arial"/>
              </w:rPr>
              <w:t>region</w:t>
            </w:r>
          </w:p>
        </w:tc>
      </w:tr>
      <w:tr w:rsidR="009D7F3E" w:rsidRPr="00431DFC" w14:paraId="01FE93C7" w14:textId="77777777" w:rsidTr="00F80F33">
        <w:trPr>
          <w:trHeight w:val="340"/>
        </w:trPr>
        <w:tc>
          <w:tcPr>
            <w:tcW w:w="3085" w:type="dxa"/>
            <w:vAlign w:val="center"/>
          </w:tcPr>
          <w:p w14:paraId="23A2C7CB" w14:textId="77777777" w:rsidR="009D7F3E" w:rsidRPr="00431DFC" w:rsidRDefault="009D7F3E" w:rsidP="009D7F3E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lastRenderedPageBreak/>
              <w:t>Limitations of indicator</w:t>
            </w:r>
          </w:p>
        </w:tc>
        <w:tc>
          <w:tcPr>
            <w:tcW w:w="6379" w:type="dxa"/>
          </w:tcPr>
          <w:p w14:paraId="36D7705E" w14:textId="76BC631E" w:rsidR="009D7F3E" w:rsidRPr="007D5708" w:rsidRDefault="000A6845" w:rsidP="007D5708">
            <w:pPr>
              <w:pStyle w:val="ListParagraph"/>
              <w:numPr>
                <w:ilvl w:val="0"/>
                <w:numId w:val="5"/>
              </w:numPr>
              <w:rPr>
                <w:rFonts w:ascii="Source Sans Pro" w:hAnsi="Source Sans Pro" w:cs="Arial"/>
              </w:rPr>
            </w:pPr>
            <w:r w:rsidRPr="007D5708">
              <w:rPr>
                <w:rFonts w:ascii="Source Sans Pro" w:hAnsi="Source Sans Pro" w:cs="Arial"/>
              </w:rPr>
              <w:t>Farmland area data (used to calculate livestock density) is not supplied based on livestock type</w:t>
            </w:r>
            <w:r w:rsidR="000C2167">
              <w:rPr>
                <w:rFonts w:ascii="Source Sans Pro" w:hAnsi="Source Sans Pro" w:cs="Arial"/>
              </w:rPr>
              <w:t xml:space="preserve">, and therefore, the denominator is limited in the </w:t>
            </w:r>
            <w:r w:rsidRPr="007D5708">
              <w:rPr>
                <w:rFonts w:ascii="Source Sans Pro" w:hAnsi="Source Sans Pro" w:cs="Arial"/>
              </w:rPr>
              <w:t>analysis.</w:t>
            </w:r>
          </w:p>
        </w:tc>
      </w:tr>
      <w:tr w:rsidR="009D7F3E" w:rsidRPr="00431DFC" w14:paraId="6D14097E" w14:textId="77777777" w:rsidTr="004A4462">
        <w:trPr>
          <w:trHeight w:val="340"/>
        </w:trPr>
        <w:tc>
          <w:tcPr>
            <w:tcW w:w="3085" w:type="dxa"/>
            <w:vAlign w:val="center"/>
          </w:tcPr>
          <w:p w14:paraId="1E77F3AA" w14:textId="77777777" w:rsidR="009D7F3E" w:rsidRPr="00431DFC" w:rsidRDefault="009D7F3E" w:rsidP="009D7F3E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t>Limitations of data source</w:t>
            </w:r>
          </w:p>
        </w:tc>
        <w:tc>
          <w:tcPr>
            <w:tcW w:w="6379" w:type="dxa"/>
            <w:vAlign w:val="center"/>
          </w:tcPr>
          <w:p w14:paraId="0DD0DD1D" w14:textId="6C4187D9" w:rsidR="00431DFC" w:rsidRPr="007D5708" w:rsidRDefault="00431DFC" w:rsidP="00431DFC">
            <w:pPr>
              <w:pStyle w:val="ListParagraph"/>
              <w:numPr>
                <w:ilvl w:val="0"/>
                <w:numId w:val="5"/>
              </w:numPr>
              <w:rPr>
                <w:rFonts w:ascii="Source Sans Pro" w:hAnsi="Source Sans Pro" w:cs="Arial"/>
              </w:rPr>
            </w:pPr>
            <w:r w:rsidRPr="007D5708">
              <w:rPr>
                <w:rFonts w:ascii="Source Sans Pro" w:hAnsi="Source Sans Pro" w:cs="Arial"/>
              </w:rPr>
              <w:t>Data based on the agricultural production survey can be</w:t>
            </w:r>
            <w:r w:rsidR="007D5708">
              <w:rPr>
                <w:rFonts w:ascii="Source Sans Pro" w:hAnsi="Source Sans Pro" w:cs="Arial"/>
              </w:rPr>
              <w:t xml:space="preserve"> </w:t>
            </w:r>
            <w:r w:rsidRPr="007D5708">
              <w:rPr>
                <w:rFonts w:ascii="Source Sans Pro" w:hAnsi="Source Sans Pro" w:cs="Arial"/>
              </w:rPr>
              <w:t>subject to sample bias and sample error.</w:t>
            </w:r>
          </w:p>
          <w:p w14:paraId="54B8A3EB" w14:textId="77777777" w:rsidR="002D5F98" w:rsidRPr="00431DFC" w:rsidRDefault="002D5F98" w:rsidP="00431DFC">
            <w:pPr>
              <w:rPr>
                <w:rFonts w:ascii="Source Sans Pro" w:hAnsi="Source Sans Pro" w:cs="Arial"/>
              </w:rPr>
            </w:pPr>
          </w:p>
          <w:p w14:paraId="37D54599" w14:textId="19CA8096" w:rsidR="009D7F3E" w:rsidRPr="007D5708" w:rsidRDefault="00431DFC" w:rsidP="00A95C69">
            <w:pPr>
              <w:pStyle w:val="ListParagraph"/>
              <w:numPr>
                <w:ilvl w:val="0"/>
                <w:numId w:val="5"/>
              </w:numPr>
              <w:rPr>
                <w:rFonts w:ascii="Source Sans Pro" w:hAnsi="Source Sans Pro" w:cs="Arial"/>
              </w:rPr>
            </w:pPr>
            <w:r w:rsidRPr="007D5708">
              <w:rPr>
                <w:rFonts w:ascii="Source Sans Pro" w:hAnsi="Source Sans Pro" w:cs="Arial"/>
              </w:rPr>
              <w:t>Deer figures for 2004 onwards are not directly comparable</w:t>
            </w:r>
            <w:r w:rsidR="007D5708">
              <w:rPr>
                <w:rFonts w:ascii="Source Sans Pro" w:hAnsi="Source Sans Pro" w:cs="Arial"/>
              </w:rPr>
              <w:t xml:space="preserve"> </w:t>
            </w:r>
            <w:r w:rsidRPr="007D5708">
              <w:rPr>
                <w:rFonts w:ascii="Source Sans Pro" w:hAnsi="Source Sans Pro" w:cs="Arial"/>
              </w:rPr>
              <w:t>with 2002 and 2003 figures as improvements have been</w:t>
            </w:r>
            <w:r w:rsidR="007D5708">
              <w:rPr>
                <w:rFonts w:ascii="Source Sans Pro" w:hAnsi="Source Sans Pro" w:cs="Arial"/>
              </w:rPr>
              <w:t xml:space="preserve"> </w:t>
            </w:r>
            <w:r w:rsidRPr="007D5708">
              <w:rPr>
                <w:rFonts w:ascii="Source Sans Pro" w:hAnsi="Source Sans Pro" w:cs="Arial"/>
              </w:rPr>
              <w:t>made to the survey questions about deer in 2004 and 2005.</w:t>
            </w:r>
          </w:p>
          <w:p w14:paraId="2AB8B52F" w14:textId="77777777" w:rsidR="002D5F98" w:rsidRDefault="002D5F98" w:rsidP="00A95C69">
            <w:pPr>
              <w:rPr>
                <w:rFonts w:ascii="Source Sans Pro" w:hAnsi="Source Sans Pro" w:cs="Arial"/>
              </w:rPr>
            </w:pPr>
          </w:p>
          <w:p w14:paraId="45A29BDF" w14:textId="1E4CA233" w:rsidR="002D5F98" w:rsidRDefault="002D5F98" w:rsidP="007D5708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2D5F98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The agricultural production surveys include all units identified on Statistics NZ's Business Register as having agricultural activity. The Business Register is a list of businesses in New Zealand, based on their registration for goods and services tax (GST) with Inland Revenue.</w:t>
            </w:r>
          </w:p>
          <w:p w14:paraId="7ACB8757" w14:textId="60B5D5FF" w:rsidR="00C400A4" w:rsidRPr="00496C16" w:rsidRDefault="002D5F98" w:rsidP="00496C16">
            <w:pPr>
              <w:pStyle w:val="NormalWeb"/>
              <w:numPr>
                <w:ilvl w:val="1"/>
                <w:numId w:val="4"/>
              </w:numPr>
              <w:shd w:val="clear" w:color="auto" w:fill="FFFFFF"/>
              <w:spacing w:before="0" w:beforeAutospacing="0" w:after="150" w:afterAutospacing="0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2D5F98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The compulsory registration level for GST is $60,000, so there is a partial and unquantifiable coverage of units below this level.</w:t>
            </w:r>
          </w:p>
        </w:tc>
      </w:tr>
      <w:tr w:rsidR="009D7F3E" w:rsidRPr="00431DFC" w14:paraId="106FECE6" w14:textId="77777777" w:rsidTr="008276B3">
        <w:trPr>
          <w:trHeight w:val="340"/>
        </w:trPr>
        <w:tc>
          <w:tcPr>
            <w:tcW w:w="3085" w:type="dxa"/>
            <w:vAlign w:val="center"/>
          </w:tcPr>
          <w:p w14:paraId="34BD0E66" w14:textId="77777777" w:rsidR="009D7F3E" w:rsidRPr="00431DFC" w:rsidRDefault="009D7F3E" w:rsidP="009D7F3E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t>Created by</w:t>
            </w:r>
          </w:p>
        </w:tc>
        <w:tc>
          <w:tcPr>
            <w:tcW w:w="6379" w:type="dxa"/>
          </w:tcPr>
          <w:p w14:paraId="53DE40FC" w14:textId="4AB9EF13" w:rsidR="009D7F3E" w:rsidRPr="00431DFC" w:rsidRDefault="00431DFC" w:rsidP="00431DFC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t>Stat</w:t>
            </w:r>
            <w:r w:rsidR="008B7A68">
              <w:rPr>
                <w:rFonts w:ascii="Source Sans Pro" w:hAnsi="Source Sans Pro" w:cs="Arial"/>
              </w:rPr>
              <w:t>s NZ</w:t>
            </w:r>
          </w:p>
        </w:tc>
      </w:tr>
      <w:tr w:rsidR="009D7F3E" w:rsidRPr="00431DFC" w14:paraId="549FC081" w14:textId="77777777" w:rsidTr="004A4462">
        <w:trPr>
          <w:trHeight w:val="340"/>
        </w:trPr>
        <w:tc>
          <w:tcPr>
            <w:tcW w:w="3085" w:type="dxa"/>
            <w:vAlign w:val="center"/>
          </w:tcPr>
          <w:p w14:paraId="30DFF5DE" w14:textId="77777777" w:rsidR="009D7F3E" w:rsidRPr="00431DFC" w:rsidRDefault="009D7F3E" w:rsidP="009D7F3E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t>Related indicators</w:t>
            </w:r>
          </w:p>
        </w:tc>
        <w:tc>
          <w:tcPr>
            <w:tcW w:w="6379" w:type="dxa"/>
            <w:vAlign w:val="center"/>
          </w:tcPr>
          <w:p w14:paraId="404F843A" w14:textId="66FB4FF2" w:rsidR="009D7F3E" w:rsidRDefault="00A95C69" w:rsidP="00FE4615">
            <w:pPr>
              <w:rPr>
                <w:rFonts w:ascii="Source Sans Pro" w:hAnsi="Source Sans Pro" w:cs="Arial"/>
              </w:rPr>
            </w:pPr>
            <w:hyperlink r:id="rId10" w:history="1">
              <w:r w:rsidRPr="00A95C69">
                <w:rPr>
                  <w:rStyle w:val="Hyperlink"/>
                  <w:rFonts w:ascii="Source Sans Pro" w:hAnsi="Source Sans Pro" w:cs="Arial"/>
                </w:rPr>
                <w:t>Water-borne diseases related to recreational water</w:t>
              </w:r>
            </w:hyperlink>
          </w:p>
          <w:p w14:paraId="53E2DC7F" w14:textId="77777777" w:rsidR="00A95C69" w:rsidRDefault="00A95C69" w:rsidP="00FE4615">
            <w:pPr>
              <w:rPr>
                <w:rFonts w:ascii="Source Sans Pro" w:hAnsi="Source Sans Pro" w:cs="Arial"/>
              </w:rPr>
            </w:pPr>
          </w:p>
          <w:p w14:paraId="5075276C" w14:textId="3B87B364" w:rsidR="00A95C69" w:rsidRDefault="00A95C69" w:rsidP="00FE4615">
            <w:pPr>
              <w:rPr>
                <w:rFonts w:ascii="Source Sans Pro" w:hAnsi="Source Sans Pro" w:cs="Arial"/>
              </w:rPr>
            </w:pPr>
            <w:hyperlink r:id="rId11" w:history="1">
              <w:r w:rsidRPr="00A95C69">
                <w:rPr>
                  <w:rStyle w:val="Hyperlink"/>
                  <w:rFonts w:ascii="Source Sans Pro" w:hAnsi="Source Sans Pro" w:cs="Arial"/>
                </w:rPr>
                <w:t>Agricultural land use</w:t>
              </w:r>
            </w:hyperlink>
          </w:p>
          <w:p w14:paraId="0750E7B9" w14:textId="77777777" w:rsidR="00A95C69" w:rsidRDefault="00A95C69" w:rsidP="00FE4615">
            <w:pPr>
              <w:rPr>
                <w:rFonts w:ascii="Source Sans Pro" w:hAnsi="Source Sans Pro" w:cs="Arial"/>
              </w:rPr>
            </w:pPr>
          </w:p>
          <w:p w14:paraId="44F8C5A5" w14:textId="793FB324" w:rsidR="00A95C69" w:rsidRDefault="00A95C69" w:rsidP="00FE4615">
            <w:pPr>
              <w:rPr>
                <w:rFonts w:ascii="Source Sans Pro" w:hAnsi="Source Sans Pro" w:cs="Arial"/>
              </w:rPr>
            </w:pPr>
            <w:hyperlink r:id="rId12" w:history="1">
              <w:r w:rsidRPr="00A95C69">
                <w:rPr>
                  <w:rStyle w:val="Hyperlink"/>
                  <w:rFonts w:ascii="Source Sans Pro" w:hAnsi="Source Sans Pro" w:cs="Arial"/>
                </w:rPr>
                <w:t>Leptospirosis notifications</w:t>
              </w:r>
            </w:hyperlink>
          </w:p>
          <w:p w14:paraId="5486FF6F" w14:textId="77777777" w:rsidR="00A95C69" w:rsidRDefault="00A95C69" w:rsidP="00FE4615">
            <w:pPr>
              <w:rPr>
                <w:rFonts w:ascii="Source Sans Pro" w:hAnsi="Source Sans Pro" w:cs="Arial"/>
              </w:rPr>
            </w:pPr>
          </w:p>
          <w:p w14:paraId="1AE815F9" w14:textId="0760CD9B" w:rsidR="00A95C69" w:rsidRPr="00FE4615" w:rsidRDefault="00A95C69" w:rsidP="00FE4615">
            <w:pPr>
              <w:rPr>
                <w:rFonts w:ascii="Source Sans Pro" w:hAnsi="Source Sans Pro" w:cs="Arial"/>
              </w:rPr>
            </w:pPr>
            <w:hyperlink r:id="rId13" w:history="1">
              <w:r w:rsidRPr="00A95C69">
                <w:rPr>
                  <w:rStyle w:val="Hyperlink"/>
                  <w:rFonts w:ascii="Source Sans Pro" w:hAnsi="Source Sans Pro" w:cs="Arial"/>
                </w:rPr>
                <w:t>Drought and rainfall</w:t>
              </w:r>
            </w:hyperlink>
          </w:p>
        </w:tc>
      </w:tr>
      <w:tr w:rsidR="009D7F3E" w:rsidRPr="00431DFC" w14:paraId="18D676E4" w14:textId="77777777" w:rsidTr="004A4462">
        <w:trPr>
          <w:trHeight w:val="340"/>
        </w:trPr>
        <w:tc>
          <w:tcPr>
            <w:tcW w:w="3085" w:type="dxa"/>
            <w:vAlign w:val="center"/>
          </w:tcPr>
          <w:p w14:paraId="0FA906E8" w14:textId="77777777" w:rsidR="009D7F3E" w:rsidRPr="00431DFC" w:rsidRDefault="009D7F3E" w:rsidP="009D7F3E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t>For more information</w:t>
            </w:r>
          </w:p>
        </w:tc>
        <w:tc>
          <w:tcPr>
            <w:tcW w:w="6379" w:type="dxa"/>
            <w:vAlign w:val="center"/>
          </w:tcPr>
          <w:p w14:paraId="446F2A1D" w14:textId="1B7BCC2E" w:rsidR="00431DFC" w:rsidRPr="00431DFC" w:rsidRDefault="00431DFC" w:rsidP="00431DFC">
            <w:pPr>
              <w:rPr>
                <w:rFonts w:ascii="Source Sans Pro" w:hAnsi="Source Sans Pro"/>
              </w:rPr>
            </w:pPr>
            <w:r w:rsidRPr="00431DFC">
              <w:rPr>
                <w:rFonts w:ascii="Source Sans Pro" w:hAnsi="Source Sans Pro"/>
              </w:rPr>
              <w:t>Stats NZ, Agriculture</w:t>
            </w:r>
          </w:p>
          <w:p w14:paraId="627AB74A" w14:textId="53E19360" w:rsidR="00431DFC" w:rsidRPr="00BA66F9" w:rsidRDefault="00431DFC" w:rsidP="00431DFC">
            <w:pPr>
              <w:rPr>
                <w:rFonts w:ascii="Source Sans Pro" w:hAnsi="Source Sans Pro"/>
              </w:rPr>
            </w:pPr>
            <w:hyperlink r:id="rId14" w:history="1">
              <w:r w:rsidRPr="00431DFC">
                <w:rPr>
                  <w:rStyle w:val="Hyperlink"/>
                  <w:rFonts w:ascii="Source Sans Pro" w:hAnsi="Source Sans Pro"/>
                </w:rPr>
                <w:t>https://www.stats.govt.nz/topics/agriculture</w:t>
              </w:r>
            </w:hyperlink>
          </w:p>
        </w:tc>
      </w:tr>
      <w:tr w:rsidR="000A6845" w:rsidRPr="00431DFC" w14:paraId="376B8C94" w14:textId="77777777" w:rsidTr="00955A2A">
        <w:trPr>
          <w:trHeight w:val="340"/>
        </w:trPr>
        <w:tc>
          <w:tcPr>
            <w:tcW w:w="3085" w:type="dxa"/>
            <w:vAlign w:val="center"/>
          </w:tcPr>
          <w:p w14:paraId="769BB69B" w14:textId="77777777" w:rsidR="000A6845" w:rsidRPr="00431DFC" w:rsidRDefault="000A6845" w:rsidP="000A6845">
            <w:pPr>
              <w:rPr>
                <w:rFonts w:ascii="Source Sans Pro" w:hAnsi="Source Sans Pro" w:cs="Arial"/>
              </w:rPr>
            </w:pPr>
            <w:r w:rsidRPr="00431DFC">
              <w:rPr>
                <w:rFonts w:ascii="Source Sans Pro" w:hAnsi="Source Sans Pro" w:cs="Arial"/>
              </w:rPr>
              <w:t>References</w:t>
            </w:r>
          </w:p>
        </w:tc>
        <w:tc>
          <w:tcPr>
            <w:tcW w:w="6379" w:type="dxa"/>
          </w:tcPr>
          <w:p w14:paraId="4EB957D6" w14:textId="58E34AE5" w:rsidR="0075751D" w:rsidRPr="00AC3120" w:rsidRDefault="000A6845" w:rsidP="000A6845">
            <w:pPr>
              <w:spacing w:before="240"/>
            </w:pPr>
            <w:r w:rsidRPr="003B6F2B">
              <w:rPr>
                <w:rFonts w:ascii="Source Sans Pro" w:hAnsi="Source Sans Pro"/>
              </w:rPr>
              <w:t>Stats NZ. Agricultural Production Statistics (202</w:t>
            </w:r>
            <w:r w:rsidR="000C2167">
              <w:rPr>
                <w:rFonts w:ascii="Source Sans Pro" w:hAnsi="Source Sans Pro"/>
              </w:rPr>
              <w:t>4</w:t>
            </w:r>
            <w:r w:rsidRPr="003B6F2B">
              <w:rPr>
                <w:rFonts w:ascii="Source Sans Pro" w:hAnsi="Source Sans Pro"/>
              </w:rPr>
              <w:t>) &amp;</w:t>
            </w:r>
            <w:r w:rsidR="007D5708" w:rsidRPr="003B6F2B">
              <w:rPr>
                <w:rFonts w:ascii="Source Sans Pro" w:hAnsi="Source Sans Pro"/>
              </w:rPr>
              <w:t xml:space="preserve"> </w:t>
            </w:r>
            <w:r w:rsidRPr="003B6F2B">
              <w:rPr>
                <w:rFonts w:ascii="Source Sans Pro" w:hAnsi="Source Sans Pro"/>
              </w:rPr>
              <w:t>Agricultural Production Census (2022). Available from</w:t>
            </w:r>
            <w:r w:rsidR="00AC3120">
              <w:t xml:space="preserve"> </w:t>
            </w:r>
            <w:hyperlink r:id="rId15" w:history="1">
              <w:r w:rsidR="00C9274E" w:rsidRPr="00C9274E">
                <w:rPr>
                  <w:rStyle w:val="Hyperlink"/>
                </w:rPr>
                <w:t>Available from Agricultural production statistics: Year to June 2024 (final) | Stats NZ</w:t>
              </w:r>
            </w:hyperlink>
          </w:p>
        </w:tc>
      </w:tr>
    </w:tbl>
    <w:p w14:paraId="33FCC975" w14:textId="77777777" w:rsidR="008346F1" w:rsidRPr="00431DFC" w:rsidRDefault="008346F1">
      <w:pPr>
        <w:rPr>
          <w:rFonts w:ascii="Source Sans Pro" w:hAnsi="Source Sans Pro"/>
        </w:rPr>
      </w:pPr>
    </w:p>
    <w:sectPr w:rsidR="008346F1" w:rsidRPr="00431DFC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0BD97" w14:textId="77777777" w:rsidR="004E7E8C" w:rsidRDefault="004E7E8C" w:rsidP="004E7E8C">
      <w:pPr>
        <w:spacing w:after="0" w:line="240" w:lineRule="auto"/>
      </w:pPr>
      <w:r>
        <w:separator/>
      </w:r>
    </w:p>
  </w:endnote>
  <w:endnote w:type="continuationSeparator" w:id="0">
    <w:p w14:paraId="3FF641CF" w14:textId="77777777" w:rsidR="004E7E8C" w:rsidRDefault="004E7E8C" w:rsidP="004E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84CB3" w14:textId="7EF44736" w:rsidR="004E7E8C" w:rsidRDefault="00C400A4" w:rsidP="00FA09E0">
    <w:pPr>
      <w:pStyle w:val="Footer"/>
      <w:jc w:val="right"/>
    </w:pPr>
    <w:r>
      <w:rPr>
        <w:rFonts w:ascii="Source Sans Pro" w:hAnsi="Source Sans Pro"/>
      </w:rPr>
      <w:t>October</w:t>
    </w:r>
    <w:r w:rsidR="00FA09E0" w:rsidRPr="00BC348B">
      <w:rPr>
        <w:rFonts w:ascii="Source Sans Pro" w:hAnsi="Source Sans Pro"/>
      </w:rPr>
      <w:t xml:space="preserve"> </w:t>
    </w:r>
    <w:r w:rsidR="009D7F3E">
      <w:rPr>
        <w:rFonts w:ascii="Source Sans Pro" w:hAnsi="Source Sans Pro"/>
      </w:rPr>
      <w:t>202</w:t>
    </w:r>
    <w:r>
      <w:rPr>
        <w:rFonts w:ascii="Source Sans Pro" w:hAnsi="Source Sans Pro"/>
      </w:rPr>
      <w:t>3</w:t>
    </w:r>
    <w:r w:rsidR="00FA09E0">
      <w:tab/>
    </w:r>
    <w:r w:rsidR="00FA09E0" w:rsidRPr="00BC348B">
      <w:rPr>
        <w:rFonts w:ascii="Source Sans Pro" w:hAnsi="Source Sans Pro"/>
        <w:color w:val="4B962B"/>
      </w:rPr>
      <w:t>www.ehinz.ac.nz</w:t>
    </w:r>
    <w:r w:rsidR="00FA09E0">
      <w:tab/>
    </w:r>
    <w:sdt>
      <w:sdtPr>
        <w:rPr>
          <w:rFonts w:ascii="Source Sans Pro" w:hAnsi="Source Sans Pro"/>
        </w:rPr>
        <w:id w:val="213659810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Source Sans Pro" w:hAnsi="Source Sans Pro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FA09E0" w:rsidRPr="00BC348B">
              <w:rPr>
                <w:rFonts w:ascii="Source Sans Pro" w:hAnsi="Source Sans Pro"/>
              </w:rPr>
              <w:t xml:space="preserve">Page </w:t>
            </w:r>
            <w:r w:rsidR="00FA09E0" w:rsidRPr="00BC348B">
              <w:rPr>
                <w:rFonts w:ascii="Source Sans Pro" w:hAnsi="Source Sans Pro"/>
                <w:b/>
                <w:bCs/>
                <w:sz w:val="24"/>
                <w:szCs w:val="24"/>
              </w:rPr>
              <w:fldChar w:fldCharType="begin"/>
            </w:r>
            <w:r w:rsidR="00FA09E0" w:rsidRPr="00BC348B">
              <w:rPr>
                <w:rFonts w:ascii="Source Sans Pro" w:hAnsi="Source Sans Pro"/>
                <w:b/>
                <w:bCs/>
              </w:rPr>
              <w:instrText xml:space="preserve"> PAGE </w:instrText>
            </w:r>
            <w:r w:rsidR="00FA09E0" w:rsidRPr="00BC348B">
              <w:rPr>
                <w:rFonts w:ascii="Source Sans Pro" w:hAnsi="Source Sans Pro"/>
                <w:b/>
                <w:bCs/>
                <w:sz w:val="24"/>
                <w:szCs w:val="24"/>
              </w:rPr>
              <w:fldChar w:fldCharType="separate"/>
            </w:r>
            <w:r w:rsidR="009751E3">
              <w:rPr>
                <w:rFonts w:ascii="Source Sans Pro" w:hAnsi="Source Sans Pro"/>
                <w:b/>
                <w:bCs/>
                <w:noProof/>
              </w:rPr>
              <w:t>1</w:t>
            </w:r>
            <w:r w:rsidR="00FA09E0" w:rsidRPr="00BC348B">
              <w:rPr>
                <w:rFonts w:ascii="Source Sans Pro" w:hAnsi="Source Sans Pro"/>
                <w:b/>
                <w:bCs/>
                <w:sz w:val="24"/>
                <w:szCs w:val="24"/>
              </w:rPr>
              <w:fldChar w:fldCharType="end"/>
            </w:r>
            <w:r w:rsidR="00FA09E0" w:rsidRPr="00BC348B">
              <w:rPr>
                <w:rFonts w:ascii="Source Sans Pro" w:hAnsi="Source Sans Pro"/>
              </w:rPr>
              <w:t xml:space="preserve"> of </w:t>
            </w:r>
            <w:r w:rsidR="00FA09E0" w:rsidRPr="00BC348B">
              <w:rPr>
                <w:rFonts w:ascii="Source Sans Pro" w:hAnsi="Source Sans Pro"/>
                <w:b/>
                <w:bCs/>
                <w:sz w:val="24"/>
                <w:szCs w:val="24"/>
              </w:rPr>
              <w:fldChar w:fldCharType="begin"/>
            </w:r>
            <w:r w:rsidR="00FA09E0" w:rsidRPr="00BC348B">
              <w:rPr>
                <w:rFonts w:ascii="Source Sans Pro" w:hAnsi="Source Sans Pro"/>
                <w:b/>
                <w:bCs/>
              </w:rPr>
              <w:instrText xml:space="preserve"> NUMPAGES  </w:instrText>
            </w:r>
            <w:r w:rsidR="00FA09E0" w:rsidRPr="00BC348B">
              <w:rPr>
                <w:rFonts w:ascii="Source Sans Pro" w:hAnsi="Source Sans Pro"/>
                <w:b/>
                <w:bCs/>
                <w:sz w:val="24"/>
                <w:szCs w:val="24"/>
              </w:rPr>
              <w:fldChar w:fldCharType="separate"/>
            </w:r>
            <w:r w:rsidR="009751E3">
              <w:rPr>
                <w:rFonts w:ascii="Source Sans Pro" w:hAnsi="Source Sans Pro"/>
                <w:b/>
                <w:bCs/>
                <w:noProof/>
              </w:rPr>
              <w:t>1</w:t>
            </w:r>
            <w:r w:rsidR="00FA09E0" w:rsidRPr="00BC348B">
              <w:rPr>
                <w:rFonts w:ascii="Source Sans Pro" w:hAnsi="Source Sans Pro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4928" w14:textId="77777777" w:rsidR="004E7E8C" w:rsidRDefault="004E7E8C" w:rsidP="004E7E8C">
      <w:pPr>
        <w:spacing w:after="0" w:line="240" w:lineRule="auto"/>
      </w:pPr>
      <w:r>
        <w:separator/>
      </w:r>
    </w:p>
  </w:footnote>
  <w:footnote w:type="continuationSeparator" w:id="0">
    <w:p w14:paraId="740CEFF4" w14:textId="77777777" w:rsidR="004E7E8C" w:rsidRDefault="004E7E8C" w:rsidP="004E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2D48" w14:textId="7331351A" w:rsidR="003D6197" w:rsidRPr="00BC348B" w:rsidRDefault="003D6197">
    <w:pPr>
      <w:pStyle w:val="Header"/>
      <w:rPr>
        <w:rFonts w:ascii="Source Sans Pro" w:hAnsi="Source Sans Pro"/>
      </w:rPr>
    </w:pPr>
    <w:r w:rsidRPr="00BC348B">
      <w:rPr>
        <w:rFonts w:ascii="Source Sans Pro" w:hAnsi="Source Sans Pro"/>
      </w:rPr>
      <w:t>Metadata</w:t>
    </w:r>
    <w:r w:rsidR="009D7F3E">
      <w:rPr>
        <w:rFonts w:ascii="Source Sans Pro" w:hAnsi="Source Sans Pro"/>
      </w:rPr>
      <w:t xml:space="preserve">: </w:t>
    </w:r>
    <w:r w:rsidR="00771E78">
      <w:rPr>
        <w:rFonts w:ascii="Source Sans Pro" w:hAnsi="Source Sans Pro"/>
      </w:rPr>
      <w:t>Number and Density of Livestock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982"/>
    <w:multiLevelType w:val="hybridMultilevel"/>
    <w:tmpl w:val="78A6DD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26C3"/>
    <w:multiLevelType w:val="hybridMultilevel"/>
    <w:tmpl w:val="88662178"/>
    <w:lvl w:ilvl="0" w:tplc="52AA94B0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563"/>
    <w:multiLevelType w:val="hybridMultilevel"/>
    <w:tmpl w:val="884EB1AA"/>
    <w:lvl w:ilvl="0" w:tplc="EFA4E71E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D1B9E"/>
    <w:multiLevelType w:val="hybridMultilevel"/>
    <w:tmpl w:val="6EA8935A"/>
    <w:lvl w:ilvl="0" w:tplc="1F70816C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85D8B"/>
    <w:multiLevelType w:val="hybridMultilevel"/>
    <w:tmpl w:val="4246052C"/>
    <w:lvl w:ilvl="0" w:tplc="52AA94B0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62912"/>
    <w:multiLevelType w:val="hybridMultilevel"/>
    <w:tmpl w:val="AB5218D6"/>
    <w:lvl w:ilvl="0" w:tplc="1F70816C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Aria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06E46"/>
    <w:multiLevelType w:val="hybridMultilevel"/>
    <w:tmpl w:val="57581EF0"/>
    <w:lvl w:ilvl="0" w:tplc="52AA94B0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22704"/>
    <w:multiLevelType w:val="hybridMultilevel"/>
    <w:tmpl w:val="11706B36"/>
    <w:lvl w:ilvl="0" w:tplc="52AA94B0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43315"/>
    <w:multiLevelType w:val="hybridMultilevel"/>
    <w:tmpl w:val="F2C05108"/>
    <w:lvl w:ilvl="0" w:tplc="52AA94B0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5153B"/>
    <w:multiLevelType w:val="hybridMultilevel"/>
    <w:tmpl w:val="9822F1BC"/>
    <w:lvl w:ilvl="0" w:tplc="EFA4E71E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04E6E"/>
    <w:multiLevelType w:val="hybridMultilevel"/>
    <w:tmpl w:val="40F2012C"/>
    <w:lvl w:ilvl="0" w:tplc="52AA94B0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B5687"/>
    <w:multiLevelType w:val="hybridMultilevel"/>
    <w:tmpl w:val="592EB4A4"/>
    <w:lvl w:ilvl="0" w:tplc="A86E05BC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341638">
    <w:abstractNumId w:val="3"/>
  </w:num>
  <w:num w:numId="2" w16cid:durableId="1942184431">
    <w:abstractNumId w:val="11"/>
  </w:num>
  <w:num w:numId="3" w16cid:durableId="1678115839">
    <w:abstractNumId w:val="0"/>
  </w:num>
  <w:num w:numId="4" w16cid:durableId="1902597688">
    <w:abstractNumId w:val="5"/>
  </w:num>
  <w:num w:numId="5" w16cid:durableId="2001032993">
    <w:abstractNumId w:val="9"/>
  </w:num>
  <w:num w:numId="6" w16cid:durableId="19136841">
    <w:abstractNumId w:val="2"/>
  </w:num>
  <w:num w:numId="7" w16cid:durableId="1803963067">
    <w:abstractNumId w:val="4"/>
  </w:num>
  <w:num w:numId="8" w16cid:durableId="890076060">
    <w:abstractNumId w:val="8"/>
  </w:num>
  <w:num w:numId="9" w16cid:durableId="1790083052">
    <w:abstractNumId w:val="10"/>
  </w:num>
  <w:num w:numId="10" w16cid:durableId="189032138">
    <w:abstractNumId w:val="6"/>
  </w:num>
  <w:num w:numId="11" w16cid:durableId="1536195342">
    <w:abstractNumId w:val="1"/>
  </w:num>
  <w:num w:numId="12" w16cid:durableId="184369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3MjQ3MTSxMDE1NLFU0lEKTi0uzszPAykwqgUA0joC/iwAAAA="/>
  </w:docVars>
  <w:rsids>
    <w:rsidRoot w:val="004E7E8C"/>
    <w:rsid w:val="0001361F"/>
    <w:rsid w:val="000A6845"/>
    <w:rsid w:val="000C2167"/>
    <w:rsid w:val="001024B9"/>
    <w:rsid w:val="00156D18"/>
    <w:rsid w:val="0021196C"/>
    <w:rsid w:val="002D5F98"/>
    <w:rsid w:val="003741C8"/>
    <w:rsid w:val="003B6F2B"/>
    <w:rsid w:val="003D6197"/>
    <w:rsid w:val="003E06D9"/>
    <w:rsid w:val="00431DFC"/>
    <w:rsid w:val="004411C5"/>
    <w:rsid w:val="0045087B"/>
    <w:rsid w:val="004659A1"/>
    <w:rsid w:val="00496C16"/>
    <w:rsid w:val="004D39EF"/>
    <w:rsid w:val="004D5C98"/>
    <w:rsid w:val="004E7E24"/>
    <w:rsid w:val="004E7E8C"/>
    <w:rsid w:val="005370EE"/>
    <w:rsid w:val="00583C11"/>
    <w:rsid w:val="00593E42"/>
    <w:rsid w:val="0069448C"/>
    <w:rsid w:val="006D530C"/>
    <w:rsid w:val="0075751D"/>
    <w:rsid w:val="0076661C"/>
    <w:rsid w:val="00771E78"/>
    <w:rsid w:val="007D5708"/>
    <w:rsid w:val="007F6BED"/>
    <w:rsid w:val="008346F1"/>
    <w:rsid w:val="00845DCB"/>
    <w:rsid w:val="00850913"/>
    <w:rsid w:val="00863539"/>
    <w:rsid w:val="008823CE"/>
    <w:rsid w:val="008B7A68"/>
    <w:rsid w:val="008D46BE"/>
    <w:rsid w:val="009428AA"/>
    <w:rsid w:val="009751E3"/>
    <w:rsid w:val="009D7F3E"/>
    <w:rsid w:val="00A36161"/>
    <w:rsid w:val="00A5769C"/>
    <w:rsid w:val="00A95C69"/>
    <w:rsid w:val="00AC3120"/>
    <w:rsid w:val="00B630F4"/>
    <w:rsid w:val="00BA66F9"/>
    <w:rsid w:val="00BB7684"/>
    <w:rsid w:val="00BC348B"/>
    <w:rsid w:val="00BF0650"/>
    <w:rsid w:val="00C400A4"/>
    <w:rsid w:val="00C9274E"/>
    <w:rsid w:val="00C92D80"/>
    <w:rsid w:val="00D93141"/>
    <w:rsid w:val="00D94E9D"/>
    <w:rsid w:val="00DA2002"/>
    <w:rsid w:val="00DD0A04"/>
    <w:rsid w:val="00DF36AE"/>
    <w:rsid w:val="00EA558F"/>
    <w:rsid w:val="00F32728"/>
    <w:rsid w:val="00F60F3A"/>
    <w:rsid w:val="00F74BC7"/>
    <w:rsid w:val="00FA09E0"/>
    <w:rsid w:val="00FE0DD6"/>
    <w:rsid w:val="00FE4615"/>
    <w:rsid w:val="00FE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D4482"/>
  <w15:docId w15:val="{FAF18B2E-77BB-4DFA-B689-B1FE55BE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E8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7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8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E7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8C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0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5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D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DC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DCB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661C"/>
    <w:rPr>
      <w:color w:val="0000FF" w:themeColor="hyperlink"/>
      <w:u w:val="single"/>
    </w:rPr>
  </w:style>
  <w:style w:type="paragraph" w:customStyle="1" w:styleId="CM32">
    <w:name w:val="CM32"/>
    <w:basedOn w:val="Normal"/>
    <w:rsid w:val="009D7F3E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styleId="UnresolvedMention">
    <w:name w:val="Unresolved Mention"/>
    <w:basedOn w:val="DefaultParagraphFont"/>
    <w:uiPriority w:val="99"/>
    <w:semiHidden/>
    <w:unhideWhenUsed/>
    <w:rsid w:val="009D7F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400A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A684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D5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s.govt.nz/information-releases/agricultural-production-statistics-year-to-june-2024-final/" TargetMode="External"/><Relationship Id="rId13" Type="http://schemas.openxmlformats.org/officeDocument/2006/relationships/hyperlink" Target="https://www.ehinz.ac.nz/indicators/climate-change/rainfall-and-drought-our-changing-climat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hinz.ac.nz/indicators/animals-and-human-health/leptospirosi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hinz.ac.nz/assets/Factsheets/Released_2021/Agricultural-Land-Use_F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tats.govt.nz/information-releases/agricultural-production-statistics-year-to-june-2024-final/" TargetMode="External"/><Relationship Id="rId10" Type="http://schemas.openxmlformats.org/officeDocument/2006/relationships/hyperlink" Target="https://www.ehinz.ac.nz/indicators/water/recreational-water/water-borne-diseases-related-to-recreational-wate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ata.mfe.govt.nz/data/category/environmental-reporting/land/land-use/" TargetMode="External"/><Relationship Id="rId14" Type="http://schemas.openxmlformats.org/officeDocument/2006/relationships/hyperlink" Target="https://www.stats.govt.nz/topics/agricul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432C7-547E-4D32-A0C8-F631707A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4136</TotalTime>
  <Pages>2</Pages>
  <Words>614</Words>
  <Characters>3463</Characters>
  <Application>Microsoft Office Word</Application>
  <DocSecurity>0</DocSecurity>
  <Lines>108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Massey University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Hipgrave</dc:creator>
  <cp:lastModifiedBy>Ahmad Mahmoodjanlou</cp:lastModifiedBy>
  <cp:revision>8</cp:revision>
  <cp:lastPrinted>2023-10-19T22:53:00Z</cp:lastPrinted>
  <dcterms:created xsi:type="dcterms:W3CDTF">2023-10-19T20:11:00Z</dcterms:created>
  <dcterms:modified xsi:type="dcterms:W3CDTF">2026-02-11T00:29:00Z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20255c0dc8a9d8f7ceb38dbe9c4cc0bfa265d85eb2a2b62209cd2348e5ac4a93</vt:lpwstr>
  </property>
  <property fmtid="{D5CDD505-2E9C-101B-9397-08002B2CF9AE}" pid="3" name="MSIP_Label_bd9e4d68-54d0-40a5-8c9a-85a36c87352c_Enabled">
    <vt:lpwstr>true</vt:lpwstr>
  </property>
  <property fmtid="{D5CDD505-2E9C-101B-9397-08002B2CF9AE}" pid="4" name="MSIP_Label_bd9e4d68-54d0-40a5-8c9a-85a36c87352c_SetDate">
    <vt:lpwstr>2023-06-07T01:09:28Z</vt:lpwstr>
  </property>
  <property fmtid="{D5CDD505-2E9C-101B-9397-08002B2CF9AE}" pid="5" name="MSIP_Label_bd9e4d68-54d0-40a5-8c9a-85a36c87352c_Method">
    <vt:lpwstr>Standard</vt:lpwstr>
  </property>
  <property fmtid="{D5CDD505-2E9C-101B-9397-08002B2CF9AE}" pid="6" name="MSIP_Label_bd9e4d68-54d0-40a5-8c9a-85a36c87352c_Name">
    <vt:lpwstr>Unclassified</vt:lpwstr>
  </property>
  <property fmtid="{D5CDD505-2E9C-101B-9397-08002B2CF9AE}" pid="7" name="MSIP_Label_bd9e4d68-54d0-40a5-8c9a-85a36c87352c_SiteId">
    <vt:lpwstr>388728e1-bbd0-4378-98dc-f8682e644300</vt:lpwstr>
  </property>
  <property fmtid="{D5CDD505-2E9C-101B-9397-08002B2CF9AE}" pid="8" name="MSIP_Label_bd9e4d68-54d0-40a5-8c9a-85a36c87352c_ActionId">
    <vt:lpwstr>12c58445-4f3d-42a4-8816-1bf10558baf9</vt:lpwstr>
  </property>
  <property fmtid="{D5CDD505-2E9C-101B-9397-08002B2CF9AE}" pid="9" name="MSIP_Label_bd9e4d68-54d0-40a5-8c9a-85a36c87352c_ContentBits">
    <vt:lpwstr>0</vt:lpwstr>
  </property>
</Properties>
</file>